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A0B62" w14:textId="77777777" w:rsidR="0078242D" w:rsidRPr="00F640AE" w:rsidRDefault="0078242D" w:rsidP="0078242D">
      <w:pPr>
        <w:rPr>
          <w:b/>
          <w:smallCaps/>
        </w:rPr>
      </w:pPr>
      <w:r w:rsidRPr="00F640AE">
        <w:rPr>
          <w:b/>
          <w:smallCaps/>
        </w:rPr>
        <w:t>Instructions:</w:t>
      </w:r>
    </w:p>
    <w:p w14:paraId="5DF355CA" w14:textId="3D5C4F05" w:rsidR="0078242D" w:rsidRPr="00F640AE" w:rsidRDefault="0078242D" w:rsidP="0078242D">
      <w:pPr>
        <w:pStyle w:val="ListParagraph"/>
        <w:numPr>
          <w:ilvl w:val="0"/>
          <w:numId w:val="1"/>
        </w:numPr>
      </w:pPr>
      <w:r w:rsidRPr="00F640AE">
        <w:t xml:space="preserve">Complete this form electronically for each Biological Materials Safeguards Committee (BMSC) registration. </w:t>
      </w:r>
    </w:p>
    <w:p w14:paraId="35257C82" w14:textId="77540462" w:rsidR="0078242D" w:rsidRPr="00F640AE" w:rsidRDefault="0078242D" w:rsidP="0078242D">
      <w:pPr>
        <w:pStyle w:val="ListParagraph"/>
        <w:numPr>
          <w:ilvl w:val="0"/>
          <w:numId w:val="1"/>
        </w:numPr>
      </w:pPr>
      <w:r w:rsidRPr="00F640AE">
        <w:t>Upload your completed form with your BMSC registration via Onsite for BMSC review.</w:t>
      </w:r>
    </w:p>
    <w:tbl>
      <w:tblPr>
        <w:tblStyle w:val="TableGrid"/>
        <w:tblW w:w="9350" w:type="dxa"/>
        <w:tblInd w:w="-5" w:type="dxa"/>
        <w:tblLayout w:type="fixed"/>
        <w:tblLook w:val="04A0" w:firstRow="1" w:lastRow="0" w:firstColumn="1" w:lastColumn="0" w:noHBand="0" w:noVBand="1"/>
      </w:tblPr>
      <w:tblGrid>
        <w:gridCol w:w="616"/>
        <w:gridCol w:w="3794"/>
        <w:gridCol w:w="4940"/>
      </w:tblGrid>
      <w:tr w:rsidR="00944954" w:rsidRPr="00F230F0" w14:paraId="78CD2313" w14:textId="77777777" w:rsidTr="0078242D">
        <w:tc>
          <w:tcPr>
            <w:tcW w:w="9350" w:type="dxa"/>
            <w:gridSpan w:val="3"/>
            <w:shd w:val="clear" w:color="auto" w:fill="000000" w:themeFill="text1"/>
          </w:tcPr>
          <w:p w14:paraId="6BB0CD9E" w14:textId="77777777" w:rsidR="00944954" w:rsidRPr="00F230F0" w:rsidRDefault="00944954" w:rsidP="004667BC">
            <w:pPr>
              <w:rPr>
                <w:b/>
                <w:smallCaps/>
                <w:color w:val="FFFFFF" w:themeColor="background1"/>
              </w:rPr>
            </w:pPr>
            <w:r w:rsidRPr="00F230F0">
              <w:rPr>
                <w:b/>
                <w:smallCaps/>
                <w:color w:val="FFFFFF" w:themeColor="background1"/>
              </w:rPr>
              <w:t>Section 1: Administrative</w:t>
            </w:r>
          </w:p>
        </w:tc>
      </w:tr>
      <w:tr w:rsidR="00B94EB4" w:rsidRPr="00F230F0" w14:paraId="56DB896F" w14:textId="77777777" w:rsidTr="00730A7F">
        <w:tc>
          <w:tcPr>
            <w:tcW w:w="616" w:type="dxa"/>
          </w:tcPr>
          <w:p w14:paraId="66457306" w14:textId="1C526D8B" w:rsidR="00B94EB4" w:rsidRPr="00F230F0" w:rsidRDefault="00B94EB4" w:rsidP="006253B4">
            <w:pPr>
              <w:tabs>
                <w:tab w:val="left" w:pos="360"/>
              </w:tabs>
            </w:pPr>
            <w:r w:rsidRPr="00F230F0">
              <w:t>1.1</w:t>
            </w:r>
          </w:p>
        </w:tc>
        <w:tc>
          <w:tcPr>
            <w:tcW w:w="8734" w:type="dxa"/>
            <w:gridSpan w:val="2"/>
          </w:tcPr>
          <w:p w14:paraId="101D809C" w14:textId="4E0615EE" w:rsidR="00B94EB4" w:rsidRPr="00B94EB4" w:rsidRDefault="00B94EB4" w:rsidP="00201AA5">
            <w:r w:rsidRPr="00B94EB4">
              <w:t xml:space="preserve">PI Name: </w:t>
            </w:r>
            <w:r w:rsidRPr="00B94EB4">
              <w:fldChar w:fldCharType="begin">
                <w:ffData>
                  <w:name w:val="Text1"/>
                  <w:enabled/>
                  <w:calcOnExit w:val="0"/>
                  <w:textInput/>
                </w:ffData>
              </w:fldChar>
            </w:r>
            <w:r w:rsidRPr="00B94EB4">
              <w:instrText xml:space="preserve"> FORMTEXT </w:instrText>
            </w:r>
            <w:r w:rsidRPr="00B94EB4">
              <w:fldChar w:fldCharType="separate"/>
            </w:r>
            <w:r w:rsidRPr="00B94EB4">
              <w:rPr>
                <w:noProof/>
              </w:rPr>
              <w:t> </w:t>
            </w:r>
            <w:r w:rsidRPr="00B94EB4">
              <w:rPr>
                <w:noProof/>
              </w:rPr>
              <w:t> </w:t>
            </w:r>
            <w:r w:rsidRPr="00B94EB4">
              <w:rPr>
                <w:noProof/>
              </w:rPr>
              <w:t> </w:t>
            </w:r>
            <w:r w:rsidRPr="00B94EB4">
              <w:rPr>
                <w:noProof/>
              </w:rPr>
              <w:t> </w:t>
            </w:r>
            <w:r w:rsidRPr="00B94EB4">
              <w:rPr>
                <w:noProof/>
              </w:rPr>
              <w:t> </w:t>
            </w:r>
            <w:r w:rsidRPr="00B94EB4">
              <w:fldChar w:fldCharType="end"/>
            </w:r>
          </w:p>
        </w:tc>
      </w:tr>
      <w:tr w:rsidR="00B94EB4" w:rsidRPr="00F230F0" w14:paraId="527A62F9" w14:textId="77777777" w:rsidTr="00184869">
        <w:tc>
          <w:tcPr>
            <w:tcW w:w="616" w:type="dxa"/>
          </w:tcPr>
          <w:p w14:paraId="3F3439F8" w14:textId="2F0A1719" w:rsidR="00B94EB4" w:rsidRPr="00F230F0" w:rsidRDefault="00B94EB4" w:rsidP="004667BC">
            <w:r>
              <w:t>1.2</w:t>
            </w:r>
          </w:p>
        </w:tc>
        <w:tc>
          <w:tcPr>
            <w:tcW w:w="8734" w:type="dxa"/>
            <w:gridSpan w:val="2"/>
          </w:tcPr>
          <w:p w14:paraId="77E976AA" w14:textId="44C9BE4E" w:rsidR="00B94EB4" w:rsidRPr="00F230F0" w:rsidRDefault="00B94EB4" w:rsidP="00B94EB4">
            <w:r>
              <w:t xml:space="preserve">BMSC Protocol Title: </w:t>
            </w:r>
            <w:r w:rsidRPr="00F230F0">
              <w:fldChar w:fldCharType="begin">
                <w:ffData>
                  <w:name w:val="Text1"/>
                  <w:enabled/>
                  <w:calcOnExit w:val="0"/>
                  <w:textInput/>
                </w:ffData>
              </w:fldChar>
            </w:r>
            <w:r w:rsidRPr="00F230F0">
              <w:instrText xml:space="preserve"> FORMTEXT </w:instrText>
            </w:r>
            <w:r w:rsidRPr="00F230F0">
              <w:fldChar w:fldCharType="separate"/>
            </w:r>
            <w:r w:rsidRPr="00F230F0">
              <w:rPr>
                <w:noProof/>
              </w:rPr>
              <w:t> </w:t>
            </w:r>
            <w:r w:rsidRPr="00F230F0">
              <w:rPr>
                <w:noProof/>
              </w:rPr>
              <w:t> </w:t>
            </w:r>
            <w:r w:rsidRPr="00F230F0">
              <w:rPr>
                <w:noProof/>
              </w:rPr>
              <w:t> </w:t>
            </w:r>
            <w:r w:rsidRPr="00F230F0">
              <w:rPr>
                <w:noProof/>
              </w:rPr>
              <w:t> </w:t>
            </w:r>
            <w:r w:rsidRPr="00F230F0">
              <w:rPr>
                <w:noProof/>
              </w:rPr>
              <w:t> </w:t>
            </w:r>
            <w:r w:rsidRPr="00F230F0">
              <w:fldChar w:fldCharType="end"/>
            </w:r>
          </w:p>
        </w:tc>
      </w:tr>
      <w:tr w:rsidR="00B94EB4" w:rsidRPr="00F230F0" w14:paraId="593548F7" w14:textId="77777777" w:rsidTr="00184869">
        <w:tc>
          <w:tcPr>
            <w:tcW w:w="616" w:type="dxa"/>
          </w:tcPr>
          <w:p w14:paraId="439DF5F5" w14:textId="0A969606" w:rsidR="00B94EB4" w:rsidRDefault="00B94EB4" w:rsidP="004667BC">
            <w:r>
              <w:t>1.3</w:t>
            </w:r>
          </w:p>
        </w:tc>
        <w:tc>
          <w:tcPr>
            <w:tcW w:w="8734" w:type="dxa"/>
            <w:gridSpan w:val="2"/>
          </w:tcPr>
          <w:p w14:paraId="1DF19D89" w14:textId="143B5F75" w:rsidR="00B94EB4" w:rsidRDefault="00B94EB4" w:rsidP="00B94EB4">
            <w:r>
              <w:t xml:space="preserve">BMSC Approval Number (if known): </w:t>
            </w:r>
            <w:r w:rsidRPr="00F230F0">
              <w:fldChar w:fldCharType="begin">
                <w:ffData>
                  <w:name w:val="Text1"/>
                  <w:enabled/>
                  <w:calcOnExit w:val="0"/>
                  <w:textInput/>
                </w:ffData>
              </w:fldChar>
            </w:r>
            <w:r w:rsidRPr="00F230F0">
              <w:instrText xml:space="preserve"> FORMTEXT </w:instrText>
            </w:r>
            <w:r w:rsidRPr="00F230F0">
              <w:fldChar w:fldCharType="separate"/>
            </w:r>
            <w:r w:rsidRPr="00F230F0">
              <w:rPr>
                <w:noProof/>
              </w:rPr>
              <w:t> </w:t>
            </w:r>
            <w:r w:rsidRPr="00F230F0">
              <w:rPr>
                <w:noProof/>
              </w:rPr>
              <w:t> </w:t>
            </w:r>
            <w:r w:rsidRPr="00F230F0">
              <w:rPr>
                <w:noProof/>
              </w:rPr>
              <w:t> </w:t>
            </w:r>
            <w:r w:rsidRPr="00F230F0">
              <w:rPr>
                <w:noProof/>
              </w:rPr>
              <w:t> </w:t>
            </w:r>
            <w:r w:rsidRPr="00F230F0">
              <w:rPr>
                <w:noProof/>
              </w:rPr>
              <w:t> </w:t>
            </w:r>
            <w:r w:rsidRPr="00F230F0">
              <w:fldChar w:fldCharType="end"/>
            </w:r>
          </w:p>
        </w:tc>
      </w:tr>
      <w:tr w:rsidR="00F727CD" w:rsidRPr="00F230F0" w14:paraId="0C134515" w14:textId="77777777" w:rsidTr="0078242D">
        <w:tc>
          <w:tcPr>
            <w:tcW w:w="9350" w:type="dxa"/>
            <w:gridSpan w:val="3"/>
            <w:shd w:val="clear" w:color="auto" w:fill="000000" w:themeFill="text1"/>
          </w:tcPr>
          <w:p w14:paraId="0630755E" w14:textId="4319EA5B" w:rsidR="00F727CD" w:rsidRPr="00F230F0" w:rsidRDefault="00F727CD" w:rsidP="0078242D">
            <w:pPr>
              <w:rPr>
                <w:b/>
                <w:smallCaps/>
                <w:color w:val="FFFFFF" w:themeColor="background1"/>
              </w:rPr>
            </w:pPr>
            <w:r w:rsidRPr="00F230F0">
              <w:rPr>
                <w:b/>
                <w:smallCaps/>
                <w:color w:val="FFFFFF" w:themeColor="background1"/>
              </w:rPr>
              <w:t xml:space="preserve">Section </w:t>
            </w:r>
            <w:r w:rsidR="0078242D" w:rsidRPr="00F230F0">
              <w:rPr>
                <w:b/>
                <w:smallCaps/>
                <w:color w:val="FFFFFF" w:themeColor="background1"/>
              </w:rPr>
              <w:t>2</w:t>
            </w:r>
            <w:r w:rsidRPr="00F230F0">
              <w:rPr>
                <w:b/>
                <w:smallCaps/>
                <w:color w:val="FFFFFF" w:themeColor="background1"/>
              </w:rPr>
              <w:t>: Dual Use Research of Concern (DURC) Potential Assessment</w:t>
            </w:r>
          </w:p>
        </w:tc>
      </w:tr>
      <w:tr w:rsidR="0017402E" w:rsidRPr="00F230F0" w14:paraId="3E473524" w14:textId="77777777" w:rsidTr="0078242D">
        <w:tc>
          <w:tcPr>
            <w:tcW w:w="9350" w:type="dxa"/>
            <w:gridSpan w:val="3"/>
            <w:shd w:val="clear" w:color="auto" w:fill="D9D9D9" w:themeFill="background1" w:themeFillShade="D9"/>
          </w:tcPr>
          <w:p w14:paraId="733125B9" w14:textId="77777777" w:rsidR="0097542D" w:rsidRPr="00F230F0" w:rsidRDefault="0014260F" w:rsidP="0014260F">
            <w:pPr>
              <w:pStyle w:val="ListParagraph"/>
              <w:numPr>
                <w:ilvl w:val="1"/>
                <w:numId w:val="8"/>
              </w:numPr>
              <w:spacing w:before="120" w:after="120"/>
              <w:ind w:left="342" w:hanging="162"/>
              <w:contextualSpacing w:val="0"/>
            </w:pPr>
            <w:r w:rsidRPr="00F230F0">
              <w:t xml:space="preserve">Despite its value and benefits, certain types of research conducted for legitimate purposes can be utilized for both benevolent and harmful purposes. Such research is called Dual Use Research (DUR). </w:t>
            </w:r>
          </w:p>
          <w:p w14:paraId="01182E42" w14:textId="58563A8D" w:rsidR="0014260F" w:rsidRPr="00F230F0" w:rsidRDefault="0014260F" w:rsidP="0014260F">
            <w:pPr>
              <w:pStyle w:val="ListParagraph"/>
              <w:numPr>
                <w:ilvl w:val="1"/>
                <w:numId w:val="8"/>
              </w:numPr>
              <w:spacing w:before="120" w:after="120"/>
              <w:ind w:left="342" w:hanging="162"/>
              <w:contextualSpacing w:val="0"/>
            </w:pPr>
            <w:r w:rsidRPr="00F230F0">
              <w:t>Dual Use Research of Concern (DURC) is a subset of DUR and is defined as “life sciences research that, based on current understanding, can be reasonably anticipated to provide knowledge, information, products, or technologies that could be directly misapplied to pose a significant threat with broad potential consequences to public health and safety, agricultural crops and other plants, animals, the environment, materiel, or national security.”</w:t>
            </w:r>
          </w:p>
          <w:p w14:paraId="17B3442A" w14:textId="65B55D2F" w:rsidR="0014260F" w:rsidRPr="00F230F0" w:rsidRDefault="0014260F" w:rsidP="0014260F">
            <w:pPr>
              <w:pStyle w:val="ListParagraph"/>
              <w:numPr>
                <w:ilvl w:val="1"/>
                <w:numId w:val="8"/>
              </w:numPr>
              <w:spacing w:before="120" w:after="120"/>
              <w:ind w:left="342" w:hanging="162"/>
              <w:contextualSpacing w:val="0"/>
            </w:pPr>
            <w:r w:rsidRPr="00F230F0">
              <w:t>On March 29, 2012, the U</w:t>
            </w:r>
            <w:r w:rsidR="00B94EB4">
              <w:t xml:space="preserve">S </w:t>
            </w:r>
            <w:r w:rsidRPr="00F230F0">
              <w:t xml:space="preserve">Government released the </w:t>
            </w:r>
            <w:hyperlink r:id="rId8" w:history="1">
              <w:r w:rsidR="00B94EB4">
                <w:rPr>
                  <w:rStyle w:val="Hyperlink"/>
                </w:rPr>
                <w:t>US Government</w:t>
              </w:r>
              <w:r w:rsidRPr="00F230F0">
                <w:rPr>
                  <w:rStyle w:val="Hyperlink"/>
                </w:rPr>
                <w:t xml:space="preserve"> Policy for Oversight of Life Sciences Dual Use Research of Concern</w:t>
              </w:r>
            </w:hyperlink>
            <w:r w:rsidRPr="00F230F0">
              <w:t xml:space="preserve"> to establish the requirements for the oversight of DURC by the </w:t>
            </w:r>
            <w:r w:rsidR="00B94EB4">
              <w:t>US Government</w:t>
            </w:r>
            <w:r w:rsidRPr="00F230F0">
              <w:t xml:space="preserve">. On September 24, 2014, the </w:t>
            </w:r>
            <w:hyperlink r:id="rId9" w:history="1">
              <w:r w:rsidR="00B94EB4">
                <w:rPr>
                  <w:rStyle w:val="Hyperlink"/>
                </w:rPr>
                <w:t>US Government</w:t>
              </w:r>
              <w:r w:rsidRPr="00F230F0">
                <w:rPr>
                  <w:rStyle w:val="Hyperlink"/>
                </w:rPr>
                <w:t xml:space="preserve"> Policy for Institutional Oversight of Life Sciences Dual Use Research of Concern</w:t>
              </w:r>
            </w:hyperlink>
            <w:r w:rsidRPr="00F230F0">
              <w:t xml:space="preserve"> was released to establish the requirements for institutional (i.e., non-</w:t>
            </w:r>
            <w:r w:rsidR="00B94EB4">
              <w:t>US Government</w:t>
            </w:r>
            <w:r w:rsidRPr="00F230F0">
              <w:t xml:space="preserve">) oversight of DURC. The </w:t>
            </w:r>
            <w:r w:rsidR="00B94EB4">
              <w:t>US Government</w:t>
            </w:r>
            <w:r w:rsidRPr="00F230F0">
              <w:t xml:space="preserve"> considers these two policies to be complementary. </w:t>
            </w:r>
          </w:p>
          <w:p w14:paraId="1DB4DB21" w14:textId="7D6936DD" w:rsidR="0017402E" w:rsidRPr="00F230F0" w:rsidRDefault="0014260F" w:rsidP="00B94EB4">
            <w:pPr>
              <w:pStyle w:val="ListParagraph"/>
              <w:numPr>
                <w:ilvl w:val="1"/>
                <w:numId w:val="8"/>
              </w:numPr>
              <w:spacing w:before="120" w:after="120"/>
              <w:ind w:left="342" w:hanging="162"/>
              <w:contextualSpacing w:val="0"/>
            </w:pPr>
            <w:r w:rsidRPr="00F230F0">
              <w:t>These definitions could potentially encompass a number of life sciences resear</w:t>
            </w:r>
            <w:r w:rsidR="0097542D" w:rsidRPr="00F230F0">
              <w:t>ch projects at Georgia Tech</w:t>
            </w:r>
            <w:r w:rsidRPr="00F230F0">
              <w:t>, however, the current scope of the Policy has been limited to the following agents and toxins and categories of experiments.  Research must involve both a listed agent/toxin and category of experim</w:t>
            </w:r>
            <w:r w:rsidR="0097542D" w:rsidRPr="00F230F0">
              <w:t>ent to be deemed potential DURC.</w:t>
            </w:r>
          </w:p>
        </w:tc>
      </w:tr>
      <w:tr w:rsidR="0010010A" w:rsidRPr="00F230F0" w14:paraId="789C5A2A" w14:textId="77777777" w:rsidTr="0078242D">
        <w:tc>
          <w:tcPr>
            <w:tcW w:w="616" w:type="dxa"/>
            <w:vMerge w:val="restart"/>
          </w:tcPr>
          <w:p w14:paraId="5A4DF75E" w14:textId="02BCFC45" w:rsidR="0010010A" w:rsidRPr="00F230F0" w:rsidRDefault="0014260F" w:rsidP="004667BC">
            <w:r w:rsidRPr="00F230F0">
              <w:t>2.1</w:t>
            </w:r>
          </w:p>
        </w:tc>
        <w:tc>
          <w:tcPr>
            <w:tcW w:w="8734" w:type="dxa"/>
            <w:gridSpan w:val="2"/>
            <w:tcBorders>
              <w:bottom w:val="nil"/>
            </w:tcBorders>
          </w:tcPr>
          <w:p w14:paraId="7C17A896" w14:textId="77777777" w:rsidR="0010010A" w:rsidRPr="00F230F0" w:rsidRDefault="0010010A" w:rsidP="00F727CD">
            <w:pPr>
              <w:rPr>
                <w:b/>
              </w:rPr>
            </w:pPr>
            <w:r w:rsidRPr="00F230F0">
              <w:rPr>
                <w:b/>
              </w:rPr>
              <w:t>Agent or Toxin Involved in Project (check all that apply)</w:t>
            </w:r>
          </w:p>
          <w:p w14:paraId="32AB81B9" w14:textId="77777777" w:rsidR="0010010A" w:rsidRPr="00F230F0" w:rsidRDefault="0010010A" w:rsidP="00F727CD">
            <w:r w:rsidRPr="00F230F0">
              <w:rPr>
                <w:i/>
              </w:rPr>
              <w:t>Verify if this project directly involves non-attenuated forms of 1 or more of the 15 listed agents.</w:t>
            </w:r>
          </w:p>
        </w:tc>
      </w:tr>
      <w:tr w:rsidR="0010010A" w:rsidRPr="00F230F0" w14:paraId="589E4B66" w14:textId="77777777" w:rsidTr="00F230F0">
        <w:trPr>
          <w:trHeight w:val="1772"/>
        </w:trPr>
        <w:tc>
          <w:tcPr>
            <w:tcW w:w="616" w:type="dxa"/>
            <w:vMerge/>
          </w:tcPr>
          <w:p w14:paraId="213BF3CC" w14:textId="77777777" w:rsidR="0010010A" w:rsidRPr="00F230F0" w:rsidRDefault="0010010A" w:rsidP="00F727CD"/>
        </w:tc>
        <w:tc>
          <w:tcPr>
            <w:tcW w:w="3794" w:type="dxa"/>
            <w:tcBorders>
              <w:top w:val="nil"/>
              <w:right w:val="nil"/>
            </w:tcBorders>
          </w:tcPr>
          <w:p w14:paraId="14049A60" w14:textId="281ED988" w:rsidR="0010010A" w:rsidRPr="00F230F0" w:rsidRDefault="0010010A" w:rsidP="00F727CD">
            <w:r w:rsidRPr="00F230F0">
              <w:fldChar w:fldCharType="begin">
                <w:ffData>
                  <w:name w:val="Check1"/>
                  <w:enabled/>
                  <w:calcOnExit w:val="0"/>
                  <w:checkBox>
                    <w:sizeAuto/>
                    <w:default w:val="0"/>
                  </w:checkBox>
                </w:ffData>
              </w:fldChar>
            </w:r>
            <w:bookmarkStart w:id="0" w:name="Check1"/>
            <w:r w:rsidRPr="00F230F0">
              <w:instrText xml:space="preserve"> FORMCHECKBOX </w:instrText>
            </w:r>
            <w:r w:rsidR="0063375E">
              <w:fldChar w:fldCharType="separate"/>
            </w:r>
            <w:r w:rsidRPr="00F230F0">
              <w:fldChar w:fldCharType="end"/>
            </w:r>
            <w:bookmarkEnd w:id="0"/>
            <w:r w:rsidRPr="00F230F0">
              <w:t xml:space="preserve"> Avian Influenza (highly pathogenic</w:t>
            </w:r>
            <w:r w:rsidR="00F230F0">
              <w:t>)</w:t>
            </w:r>
          </w:p>
          <w:p w14:paraId="0FA3105F" w14:textId="77777777" w:rsidR="0010010A" w:rsidRPr="00F230F0" w:rsidRDefault="0010010A" w:rsidP="00F727CD">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w:t>
            </w:r>
            <w:r w:rsidRPr="007D32F7">
              <w:rPr>
                <w:i/>
              </w:rPr>
              <w:t>Bacillus anthracis</w:t>
            </w:r>
          </w:p>
          <w:p w14:paraId="7DB7C887" w14:textId="77777777" w:rsidR="0010010A" w:rsidRPr="00F230F0" w:rsidRDefault="0010010A" w:rsidP="00F727CD">
            <w:pPr>
              <w:rPr>
                <w:sz w:val="20"/>
              </w:rPr>
            </w:pPr>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Botulinum neurotoxin </w:t>
            </w:r>
            <w:r w:rsidRPr="00F230F0">
              <w:rPr>
                <w:sz w:val="20"/>
              </w:rPr>
              <w:t>(any quantity)</w:t>
            </w:r>
          </w:p>
          <w:p w14:paraId="0E94CFD8" w14:textId="77777777" w:rsidR="0010010A" w:rsidRPr="007D32F7" w:rsidRDefault="0010010A" w:rsidP="00F727CD">
            <w:pPr>
              <w:rPr>
                <w:i/>
              </w:rPr>
            </w:pPr>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w:t>
            </w:r>
            <w:r w:rsidRPr="007D32F7">
              <w:rPr>
                <w:i/>
              </w:rPr>
              <w:t>Burkholderia mallei</w:t>
            </w:r>
          </w:p>
          <w:p w14:paraId="7DF63B0D" w14:textId="77777777" w:rsidR="0010010A" w:rsidRPr="00F230F0" w:rsidRDefault="0010010A" w:rsidP="00F727CD">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7D32F7">
              <w:rPr>
                <w:i/>
              </w:rPr>
              <w:t xml:space="preserve"> Burkholderia pseudomallei</w:t>
            </w:r>
          </w:p>
          <w:p w14:paraId="6A445AA8" w14:textId="77777777" w:rsidR="0010010A" w:rsidRPr="00F230F0" w:rsidRDefault="0010010A" w:rsidP="00F727CD">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Ebola virus</w:t>
            </w:r>
          </w:p>
          <w:bookmarkStart w:id="1" w:name="_GoBack"/>
          <w:p w14:paraId="5B56BF76" w14:textId="77777777" w:rsidR="0010010A" w:rsidRPr="00F230F0" w:rsidRDefault="0010010A" w:rsidP="00F727CD">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bookmarkEnd w:id="1"/>
            <w:r w:rsidRPr="00F230F0">
              <w:t xml:space="preserve"> Foot-and-mouth disease virus</w:t>
            </w:r>
          </w:p>
          <w:p w14:paraId="29FC094E" w14:textId="77777777" w:rsidR="0010010A" w:rsidRPr="00F230F0" w:rsidRDefault="0010010A" w:rsidP="00F727CD">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w:t>
            </w:r>
            <w:r w:rsidRPr="007D32F7">
              <w:rPr>
                <w:i/>
              </w:rPr>
              <w:t>Francisella tularensis</w:t>
            </w:r>
          </w:p>
        </w:tc>
        <w:tc>
          <w:tcPr>
            <w:tcW w:w="4940" w:type="dxa"/>
            <w:tcBorders>
              <w:top w:val="nil"/>
              <w:left w:val="nil"/>
            </w:tcBorders>
          </w:tcPr>
          <w:p w14:paraId="44FDBD58" w14:textId="77777777" w:rsidR="0010010A" w:rsidRPr="00F230F0" w:rsidRDefault="0010010A" w:rsidP="00F727CD">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Marburg virus</w:t>
            </w:r>
          </w:p>
          <w:p w14:paraId="5555A1CC" w14:textId="77777777" w:rsidR="0010010A" w:rsidRPr="00F230F0" w:rsidRDefault="0010010A" w:rsidP="00F727CD">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Reconstructed 1918 influenza virus</w:t>
            </w:r>
          </w:p>
          <w:p w14:paraId="512CFE3A" w14:textId="77777777" w:rsidR="0010010A" w:rsidRPr="00F230F0" w:rsidRDefault="0010010A" w:rsidP="00F727CD">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Rinderpest virus</w:t>
            </w:r>
          </w:p>
          <w:p w14:paraId="4621DF38" w14:textId="77777777" w:rsidR="0010010A" w:rsidRPr="00F230F0" w:rsidRDefault="0010010A" w:rsidP="00F727CD">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Toxin producing strains of </w:t>
            </w:r>
            <w:r w:rsidRPr="00F230F0">
              <w:rPr>
                <w:i/>
              </w:rPr>
              <w:t>Clostridium botulinum</w:t>
            </w:r>
          </w:p>
          <w:p w14:paraId="1C7D539E" w14:textId="77777777" w:rsidR="0010010A" w:rsidRPr="00F230F0" w:rsidRDefault="0010010A" w:rsidP="00F727CD">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Variola major virus</w:t>
            </w:r>
          </w:p>
          <w:p w14:paraId="0EFD99EF" w14:textId="77777777" w:rsidR="0010010A" w:rsidRPr="00F230F0" w:rsidRDefault="0010010A" w:rsidP="00F727CD">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Variola minor virus</w:t>
            </w:r>
          </w:p>
          <w:p w14:paraId="13078F9C" w14:textId="77777777" w:rsidR="0010010A" w:rsidRPr="00F230F0" w:rsidRDefault="0010010A" w:rsidP="00F727CD">
            <w:pPr>
              <w:rPr>
                <w:i/>
              </w:rPr>
            </w:pPr>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w:t>
            </w:r>
            <w:r w:rsidRPr="00F230F0">
              <w:rPr>
                <w:i/>
              </w:rPr>
              <w:t>Yersinia pestis</w:t>
            </w:r>
          </w:p>
          <w:p w14:paraId="32072EE1" w14:textId="7985E8CF" w:rsidR="0014260F" w:rsidRPr="00F230F0" w:rsidRDefault="0014260F" w:rsidP="00F727CD">
            <w:pPr>
              <w:rPr>
                <w:b/>
              </w:rPr>
            </w:pPr>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w:t>
            </w:r>
            <w:r w:rsidRPr="00F230F0">
              <w:rPr>
                <w:b/>
              </w:rPr>
              <w:t>NONE</w:t>
            </w:r>
          </w:p>
        </w:tc>
      </w:tr>
      <w:tr w:rsidR="00F727CD" w:rsidRPr="00F230F0" w14:paraId="6E046AB2" w14:textId="77777777" w:rsidTr="0078242D">
        <w:trPr>
          <w:trHeight w:val="3068"/>
        </w:trPr>
        <w:tc>
          <w:tcPr>
            <w:tcW w:w="616" w:type="dxa"/>
          </w:tcPr>
          <w:p w14:paraId="4BBF63D7" w14:textId="0EA96154" w:rsidR="00F727CD" w:rsidRPr="00F230F0" w:rsidRDefault="0014260F" w:rsidP="00F727CD">
            <w:r w:rsidRPr="00F230F0">
              <w:lastRenderedPageBreak/>
              <w:t>2.2</w:t>
            </w:r>
          </w:p>
        </w:tc>
        <w:tc>
          <w:tcPr>
            <w:tcW w:w="8734" w:type="dxa"/>
            <w:gridSpan w:val="2"/>
          </w:tcPr>
          <w:p w14:paraId="08661C81" w14:textId="77777777" w:rsidR="00F727CD" w:rsidRPr="00F230F0" w:rsidRDefault="00F727CD" w:rsidP="00F727CD">
            <w:pPr>
              <w:rPr>
                <w:b/>
              </w:rPr>
            </w:pPr>
            <w:r w:rsidRPr="00F230F0">
              <w:rPr>
                <w:b/>
              </w:rPr>
              <w:t>Experimental Effects (check all that apply)</w:t>
            </w:r>
          </w:p>
          <w:p w14:paraId="50603BD5" w14:textId="77777777" w:rsidR="00F727CD" w:rsidRPr="00F230F0" w:rsidRDefault="0010010A" w:rsidP="00F727CD">
            <w:r w:rsidRPr="00F230F0">
              <w:rPr>
                <w:i/>
              </w:rPr>
              <w:t>I</w:t>
            </w:r>
            <w:r w:rsidR="00F727CD" w:rsidRPr="00F230F0">
              <w:rPr>
                <w:i/>
              </w:rPr>
              <w:t>ndicate whether the research project indicated above produces, aims or can be reasonably anticipated to produce any of the following experimental effects.</w:t>
            </w:r>
          </w:p>
          <w:p w14:paraId="16E43259" w14:textId="77777777" w:rsidR="00F727CD" w:rsidRPr="00F230F0" w:rsidRDefault="00F727CD" w:rsidP="0017402E">
            <w:pPr>
              <w:ind w:left="257" w:hanging="257"/>
            </w:pPr>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Enhances the harmful consequences of the agent or toxin.</w:t>
            </w:r>
          </w:p>
          <w:p w14:paraId="4B6C3D40" w14:textId="77777777" w:rsidR="00F727CD" w:rsidRPr="00F230F0" w:rsidRDefault="00F727CD" w:rsidP="0017402E">
            <w:pPr>
              <w:ind w:left="257" w:hanging="257"/>
            </w:pPr>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Disrupts the immunity or the effectiveness of an immunization against the agent or toxin without clinical or agricultural justification.</w:t>
            </w:r>
          </w:p>
          <w:p w14:paraId="12768D94" w14:textId="77777777" w:rsidR="00F727CD" w:rsidRPr="00F230F0" w:rsidRDefault="00F727CD" w:rsidP="0017402E">
            <w:pPr>
              <w:ind w:left="257" w:hanging="257"/>
            </w:pPr>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Confers to the agent or toxin resistance to clinically or agriculturally useful prophylactic or therapeutic interventions against the agent or toxin or facilitates its ability to evade detection methodologies.</w:t>
            </w:r>
          </w:p>
          <w:p w14:paraId="69222B9F" w14:textId="77777777" w:rsidR="00F727CD" w:rsidRPr="00F230F0" w:rsidRDefault="00F727CD" w:rsidP="0017402E">
            <w:pPr>
              <w:ind w:left="257" w:hanging="257"/>
            </w:pPr>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Alters properties of the agent or toxin in a manner that would enhance its ability to be disseminated.</w:t>
            </w:r>
          </w:p>
          <w:p w14:paraId="5EF07031" w14:textId="77777777" w:rsidR="00F727CD" w:rsidRPr="00F230F0" w:rsidRDefault="00F727CD" w:rsidP="0017402E">
            <w:pPr>
              <w:ind w:left="257" w:hanging="257"/>
            </w:pPr>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Alters the host range or tropism of the agent or toxin.</w:t>
            </w:r>
          </w:p>
          <w:p w14:paraId="490CE430" w14:textId="77777777" w:rsidR="00F727CD" w:rsidRPr="00F230F0" w:rsidRDefault="00F727CD" w:rsidP="0017402E">
            <w:pPr>
              <w:ind w:left="257" w:hanging="257"/>
            </w:pPr>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Enhances the susceptibility of a host population to the agent or toxin.</w:t>
            </w:r>
          </w:p>
          <w:p w14:paraId="0E9ADDDB" w14:textId="77777777" w:rsidR="00F727CD" w:rsidRPr="00F230F0" w:rsidRDefault="00F727CD" w:rsidP="0017402E">
            <w:pPr>
              <w:ind w:left="257" w:hanging="257"/>
            </w:pPr>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Generates or reconstitutes an eradicated or extinct agent or toxin listed in Question </w:t>
            </w:r>
            <w:r w:rsidR="0010010A" w:rsidRPr="00F230F0">
              <w:t>6.2</w:t>
            </w:r>
            <w:r w:rsidRPr="00F230F0">
              <w:t xml:space="preserve"> of this form.</w:t>
            </w:r>
          </w:p>
          <w:p w14:paraId="21415067" w14:textId="261BC93E" w:rsidR="0014260F" w:rsidRPr="00F230F0" w:rsidRDefault="0014260F" w:rsidP="0017402E">
            <w:pPr>
              <w:ind w:left="257" w:hanging="257"/>
              <w:rPr>
                <w:b/>
              </w:rPr>
            </w:pPr>
            <w:r w:rsidRPr="00F230F0">
              <w:fldChar w:fldCharType="begin">
                <w:ffData>
                  <w:name w:val="Check1"/>
                  <w:enabled/>
                  <w:calcOnExit w:val="0"/>
                  <w:checkBox>
                    <w:sizeAuto/>
                    <w:default w:val="0"/>
                  </w:checkBox>
                </w:ffData>
              </w:fldChar>
            </w:r>
            <w:r w:rsidRPr="00F230F0">
              <w:instrText xml:space="preserve"> FORMCHECKBOX </w:instrText>
            </w:r>
            <w:r w:rsidR="0063375E">
              <w:fldChar w:fldCharType="separate"/>
            </w:r>
            <w:r w:rsidRPr="00F230F0">
              <w:fldChar w:fldCharType="end"/>
            </w:r>
            <w:r w:rsidRPr="00F230F0">
              <w:t xml:space="preserve"> </w:t>
            </w:r>
            <w:r w:rsidRPr="00F230F0">
              <w:rPr>
                <w:b/>
              </w:rPr>
              <w:t>NONE</w:t>
            </w:r>
          </w:p>
          <w:p w14:paraId="1304289E" w14:textId="77777777" w:rsidR="0014260F" w:rsidRPr="00F230F0" w:rsidRDefault="0014260F" w:rsidP="0017402E">
            <w:pPr>
              <w:ind w:left="257" w:hanging="257"/>
            </w:pPr>
          </w:p>
          <w:p w14:paraId="3696954B" w14:textId="77777777" w:rsidR="00F727CD" w:rsidRPr="00F230F0" w:rsidRDefault="00F727CD" w:rsidP="0014260F">
            <w:r w:rsidRPr="00F230F0">
              <w:rPr>
                <w:b/>
                <w:i/>
              </w:rPr>
              <w:t xml:space="preserve">If you checked any of the above </w:t>
            </w:r>
            <w:r w:rsidR="0014260F" w:rsidRPr="00F230F0">
              <w:rPr>
                <w:b/>
                <w:i/>
              </w:rPr>
              <w:t>experimental effects</w:t>
            </w:r>
            <w:r w:rsidRPr="00F230F0">
              <w:rPr>
                <w:b/>
                <w:i/>
              </w:rPr>
              <w:t>,</w:t>
            </w:r>
            <w:r w:rsidR="0014260F" w:rsidRPr="00F230F0">
              <w:rPr>
                <w:b/>
                <w:i/>
              </w:rPr>
              <w:t xml:space="preserve"> please</w:t>
            </w:r>
            <w:r w:rsidRPr="00F230F0">
              <w:rPr>
                <w:b/>
                <w:i/>
              </w:rPr>
              <w:t xml:space="preserve"> explain:</w:t>
            </w:r>
            <w:r w:rsidRPr="00F230F0">
              <w:rPr>
                <w:b/>
              </w:rPr>
              <w:t xml:space="preserve"> </w:t>
            </w:r>
            <w:r w:rsidRPr="00F230F0">
              <w:fldChar w:fldCharType="begin">
                <w:ffData>
                  <w:name w:val="Text1"/>
                  <w:enabled/>
                  <w:calcOnExit w:val="0"/>
                  <w:textInput/>
                </w:ffData>
              </w:fldChar>
            </w:r>
            <w:r w:rsidRPr="00F230F0">
              <w:instrText xml:space="preserve"> FORMTEXT </w:instrText>
            </w:r>
            <w:r w:rsidRPr="00F230F0">
              <w:fldChar w:fldCharType="separate"/>
            </w:r>
            <w:r w:rsidRPr="00F230F0">
              <w:rPr>
                <w:noProof/>
              </w:rPr>
              <w:t> </w:t>
            </w:r>
            <w:r w:rsidRPr="00F230F0">
              <w:rPr>
                <w:noProof/>
              </w:rPr>
              <w:t> </w:t>
            </w:r>
            <w:r w:rsidRPr="00F230F0">
              <w:rPr>
                <w:noProof/>
              </w:rPr>
              <w:t> </w:t>
            </w:r>
            <w:r w:rsidRPr="00F230F0">
              <w:rPr>
                <w:noProof/>
              </w:rPr>
              <w:t> </w:t>
            </w:r>
            <w:r w:rsidRPr="00F230F0">
              <w:rPr>
                <w:noProof/>
              </w:rPr>
              <w:t> </w:t>
            </w:r>
            <w:r w:rsidRPr="00F230F0">
              <w:fldChar w:fldCharType="end"/>
            </w:r>
          </w:p>
          <w:p w14:paraId="663DDAEC" w14:textId="483E9064" w:rsidR="00F230F0" w:rsidRPr="00F230F0" w:rsidRDefault="00F230F0" w:rsidP="0014260F"/>
        </w:tc>
      </w:tr>
    </w:tbl>
    <w:p w14:paraId="7C269486" w14:textId="77777777" w:rsidR="00F727CD" w:rsidRDefault="00F727CD" w:rsidP="004667BC">
      <w:pPr>
        <w:spacing w:after="0" w:line="240" w:lineRule="auto"/>
      </w:pPr>
    </w:p>
    <w:sectPr w:rsidR="00F727CD" w:rsidSect="00F640AE">
      <w:headerReference w:type="default" r:id="rId10"/>
      <w:footerReference w:type="default" r:id="rId11"/>
      <w:headerReference w:type="first" r:id="rId12"/>
      <w:footerReference w:type="first" r:id="rId13"/>
      <w:pgSz w:w="12240" w:h="15840"/>
      <w:pgMar w:top="1500" w:right="1440" w:bottom="144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51599" w14:textId="77777777" w:rsidR="0014260F" w:rsidRDefault="0014260F" w:rsidP="004667BC">
      <w:pPr>
        <w:spacing w:after="0" w:line="240" w:lineRule="auto"/>
      </w:pPr>
      <w:r>
        <w:separator/>
      </w:r>
    </w:p>
  </w:endnote>
  <w:endnote w:type="continuationSeparator" w:id="0">
    <w:p w14:paraId="08724A76" w14:textId="77777777" w:rsidR="0014260F" w:rsidRDefault="0014260F" w:rsidP="0046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EED12" w14:textId="3FEE7CAD" w:rsidR="0014260F" w:rsidRPr="00F640AE" w:rsidRDefault="00F640AE" w:rsidP="00F640AE">
    <w:pPr>
      <w:pStyle w:val="Footer"/>
      <w:pBdr>
        <w:top w:val="single" w:sz="4" w:space="1" w:color="auto"/>
      </w:pBdr>
      <w:tabs>
        <w:tab w:val="clear" w:pos="4680"/>
        <w:tab w:val="center" w:pos="5490"/>
      </w:tabs>
      <w:rPr>
        <w:sz w:val="16"/>
        <w:szCs w:val="16"/>
      </w:rPr>
    </w:pPr>
    <w:r w:rsidRPr="00F640AE">
      <w:rPr>
        <w:sz w:val="16"/>
        <w:szCs w:val="16"/>
      </w:rPr>
      <w:fldChar w:fldCharType="begin"/>
    </w:r>
    <w:r w:rsidRPr="00F640AE">
      <w:rPr>
        <w:sz w:val="16"/>
        <w:szCs w:val="16"/>
      </w:rPr>
      <w:instrText xml:space="preserve"> FILENAME   \* MERGEFORMAT </w:instrText>
    </w:r>
    <w:r w:rsidRPr="00F640AE">
      <w:rPr>
        <w:sz w:val="16"/>
        <w:szCs w:val="16"/>
      </w:rPr>
      <w:fldChar w:fldCharType="separate"/>
    </w:r>
    <w:r w:rsidR="00B94EB4">
      <w:rPr>
        <w:noProof/>
        <w:sz w:val="16"/>
        <w:szCs w:val="16"/>
      </w:rPr>
      <w:t>BMSC-DURC-Screening_1.docx</w:t>
    </w:r>
    <w:r w:rsidRPr="00F640AE">
      <w:rPr>
        <w:noProof/>
        <w:sz w:val="16"/>
        <w:szCs w:val="16"/>
      </w:rPr>
      <w:fldChar w:fldCharType="end"/>
    </w:r>
    <w:r w:rsidRPr="00F640AE">
      <w:rPr>
        <w:sz w:val="16"/>
        <w:szCs w:val="16"/>
      </w:rPr>
      <w:tab/>
      <w:t xml:space="preserve">Revision Date: </w:t>
    </w:r>
    <w:r w:rsidRPr="00F640AE">
      <w:rPr>
        <w:sz w:val="16"/>
        <w:szCs w:val="16"/>
      </w:rPr>
      <w:fldChar w:fldCharType="begin"/>
    </w:r>
    <w:r w:rsidRPr="00F640AE">
      <w:rPr>
        <w:sz w:val="16"/>
        <w:szCs w:val="16"/>
      </w:rPr>
      <w:instrText xml:space="preserve"> SAVEDATE  \@ "d-MMM-yy"  \* MERGEFORMAT </w:instrText>
    </w:r>
    <w:r w:rsidRPr="00F640AE">
      <w:rPr>
        <w:sz w:val="16"/>
        <w:szCs w:val="16"/>
      </w:rPr>
      <w:fldChar w:fldCharType="separate"/>
    </w:r>
    <w:r w:rsidR="00B94EB4">
      <w:rPr>
        <w:noProof/>
        <w:sz w:val="16"/>
        <w:szCs w:val="16"/>
      </w:rPr>
      <w:t>23-Sep-15</w:t>
    </w:r>
    <w:r w:rsidRPr="00F640AE">
      <w:rPr>
        <w:sz w:val="16"/>
        <w:szCs w:val="16"/>
      </w:rPr>
      <w:fldChar w:fldCharType="end"/>
    </w:r>
    <w:r w:rsidRPr="00F640AE">
      <w:rPr>
        <w:sz w:val="16"/>
        <w:szCs w:val="16"/>
      </w:rPr>
      <w:tab/>
      <w:t xml:space="preserve">Page </w:t>
    </w:r>
    <w:r w:rsidRPr="00F640AE">
      <w:rPr>
        <w:sz w:val="16"/>
        <w:szCs w:val="16"/>
      </w:rPr>
      <w:fldChar w:fldCharType="begin"/>
    </w:r>
    <w:r w:rsidRPr="00F640AE">
      <w:rPr>
        <w:sz w:val="16"/>
        <w:szCs w:val="16"/>
      </w:rPr>
      <w:instrText xml:space="preserve"> PAGE  \* Arabic  \* MERGEFORMAT </w:instrText>
    </w:r>
    <w:r w:rsidRPr="00F640AE">
      <w:rPr>
        <w:sz w:val="16"/>
        <w:szCs w:val="16"/>
      </w:rPr>
      <w:fldChar w:fldCharType="separate"/>
    </w:r>
    <w:r w:rsidR="0063375E">
      <w:rPr>
        <w:noProof/>
        <w:sz w:val="16"/>
        <w:szCs w:val="16"/>
      </w:rPr>
      <w:t>2</w:t>
    </w:r>
    <w:r w:rsidRPr="00F640AE">
      <w:rPr>
        <w:sz w:val="16"/>
        <w:szCs w:val="16"/>
      </w:rPr>
      <w:fldChar w:fldCharType="end"/>
    </w:r>
    <w:r w:rsidRPr="00F640AE">
      <w:rPr>
        <w:sz w:val="16"/>
        <w:szCs w:val="16"/>
      </w:rPr>
      <w:t xml:space="preserve"> of </w:t>
    </w:r>
    <w:r w:rsidRPr="00F640AE">
      <w:rPr>
        <w:sz w:val="16"/>
        <w:szCs w:val="16"/>
      </w:rPr>
      <w:fldChar w:fldCharType="begin"/>
    </w:r>
    <w:r w:rsidRPr="00F640AE">
      <w:rPr>
        <w:sz w:val="16"/>
        <w:szCs w:val="16"/>
      </w:rPr>
      <w:instrText xml:space="preserve"> NUMPAGES  \* Arabic  \* MERGEFORMAT </w:instrText>
    </w:r>
    <w:r w:rsidRPr="00F640AE">
      <w:rPr>
        <w:sz w:val="16"/>
        <w:szCs w:val="16"/>
      </w:rPr>
      <w:fldChar w:fldCharType="separate"/>
    </w:r>
    <w:r w:rsidR="0063375E">
      <w:rPr>
        <w:noProof/>
        <w:sz w:val="16"/>
        <w:szCs w:val="16"/>
      </w:rPr>
      <w:t>2</w:t>
    </w:r>
    <w:r w:rsidRPr="00F640AE">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51696" w14:textId="70749965" w:rsidR="0014260F" w:rsidRPr="00F640AE" w:rsidRDefault="007F1E99" w:rsidP="007F1E99">
    <w:pPr>
      <w:pStyle w:val="Footer"/>
      <w:pBdr>
        <w:top w:val="single" w:sz="4" w:space="1" w:color="auto"/>
      </w:pBdr>
      <w:tabs>
        <w:tab w:val="clear" w:pos="4680"/>
        <w:tab w:val="center" w:pos="5490"/>
      </w:tabs>
      <w:rPr>
        <w:sz w:val="16"/>
        <w:szCs w:val="16"/>
      </w:rPr>
    </w:pPr>
    <w:r w:rsidRPr="00F640AE">
      <w:rPr>
        <w:sz w:val="16"/>
        <w:szCs w:val="16"/>
      </w:rPr>
      <w:fldChar w:fldCharType="begin"/>
    </w:r>
    <w:r w:rsidRPr="00F640AE">
      <w:rPr>
        <w:sz w:val="16"/>
        <w:szCs w:val="16"/>
      </w:rPr>
      <w:instrText xml:space="preserve"> FILENAME   \* MERGEFORMAT </w:instrText>
    </w:r>
    <w:r w:rsidRPr="00F640AE">
      <w:rPr>
        <w:sz w:val="16"/>
        <w:szCs w:val="16"/>
      </w:rPr>
      <w:fldChar w:fldCharType="separate"/>
    </w:r>
    <w:r w:rsidR="00B94EB4">
      <w:rPr>
        <w:noProof/>
        <w:sz w:val="16"/>
        <w:szCs w:val="16"/>
      </w:rPr>
      <w:t>BMSC-DURC-Screening_1.docx</w:t>
    </w:r>
    <w:r w:rsidRPr="00F640AE">
      <w:rPr>
        <w:noProof/>
        <w:sz w:val="16"/>
        <w:szCs w:val="16"/>
      </w:rPr>
      <w:fldChar w:fldCharType="end"/>
    </w:r>
    <w:r w:rsidRPr="00F640AE">
      <w:rPr>
        <w:sz w:val="16"/>
        <w:szCs w:val="16"/>
      </w:rPr>
      <w:tab/>
      <w:t xml:space="preserve">Revision Date: </w:t>
    </w:r>
    <w:r w:rsidRPr="00F640AE">
      <w:rPr>
        <w:sz w:val="16"/>
        <w:szCs w:val="16"/>
      </w:rPr>
      <w:fldChar w:fldCharType="begin"/>
    </w:r>
    <w:r w:rsidRPr="00F640AE">
      <w:rPr>
        <w:sz w:val="16"/>
        <w:szCs w:val="16"/>
      </w:rPr>
      <w:instrText xml:space="preserve"> SAVEDATE  \@ "d-MMM-yy"  \* MERGEFORMAT </w:instrText>
    </w:r>
    <w:r w:rsidRPr="00F640AE">
      <w:rPr>
        <w:sz w:val="16"/>
        <w:szCs w:val="16"/>
      </w:rPr>
      <w:fldChar w:fldCharType="separate"/>
    </w:r>
    <w:r w:rsidR="00B94EB4">
      <w:rPr>
        <w:noProof/>
        <w:sz w:val="16"/>
        <w:szCs w:val="16"/>
      </w:rPr>
      <w:t>23-Sep-15</w:t>
    </w:r>
    <w:r w:rsidRPr="00F640AE">
      <w:rPr>
        <w:sz w:val="16"/>
        <w:szCs w:val="16"/>
      </w:rPr>
      <w:fldChar w:fldCharType="end"/>
    </w:r>
    <w:r w:rsidRPr="00F640AE">
      <w:rPr>
        <w:sz w:val="16"/>
        <w:szCs w:val="16"/>
      </w:rPr>
      <w:tab/>
      <w:t xml:space="preserve">Page </w:t>
    </w:r>
    <w:r w:rsidRPr="00F640AE">
      <w:rPr>
        <w:sz w:val="16"/>
        <w:szCs w:val="16"/>
      </w:rPr>
      <w:fldChar w:fldCharType="begin"/>
    </w:r>
    <w:r w:rsidRPr="00F640AE">
      <w:rPr>
        <w:sz w:val="16"/>
        <w:szCs w:val="16"/>
      </w:rPr>
      <w:instrText xml:space="preserve"> PAGE  \* Arabic  \* MERGEFORMAT </w:instrText>
    </w:r>
    <w:r w:rsidRPr="00F640AE">
      <w:rPr>
        <w:sz w:val="16"/>
        <w:szCs w:val="16"/>
      </w:rPr>
      <w:fldChar w:fldCharType="separate"/>
    </w:r>
    <w:r w:rsidR="0063375E">
      <w:rPr>
        <w:noProof/>
        <w:sz w:val="16"/>
        <w:szCs w:val="16"/>
      </w:rPr>
      <w:t>1</w:t>
    </w:r>
    <w:r w:rsidRPr="00F640AE">
      <w:rPr>
        <w:sz w:val="16"/>
        <w:szCs w:val="16"/>
      </w:rPr>
      <w:fldChar w:fldCharType="end"/>
    </w:r>
    <w:r w:rsidRPr="00F640AE">
      <w:rPr>
        <w:sz w:val="16"/>
        <w:szCs w:val="16"/>
      </w:rPr>
      <w:t xml:space="preserve"> of </w:t>
    </w:r>
    <w:r w:rsidRPr="00F640AE">
      <w:rPr>
        <w:sz w:val="16"/>
        <w:szCs w:val="16"/>
      </w:rPr>
      <w:fldChar w:fldCharType="begin"/>
    </w:r>
    <w:r w:rsidRPr="00F640AE">
      <w:rPr>
        <w:sz w:val="16"/>
        <w:szCs w:val="16"/>
      </w:rPr>
      <w:instrText xml:space="preserve"> NUMPAGES  \* Arabic  \* MERGEFORMAT </w:instrText>
    </w:r>
    <w:r w:rsidRPr="00F640AE">
      <w:rPr>
        <w:sz w:val="16"/>
        <w:szCs w:val="16"/>
      </w:rPr>
      <w:fldChar w:fldCharType="separate"/>
    </w:r>
    <w:r w:rsidR="0063375E">
      <w:rPr>
        <w:noProof/>
        <w:sz w:val="16"/>
        <w:szCs w:val="16"/>
      </w:rPr>
      <w:t>2</w:t>
    </w:r>
    <w:r w:rsidRPr="00F640AE">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BD22B" w14:textId="77777777" w:rsidR="0014260F" w:rsidRDefault="0014260F" w:rsidP="004667BC">
      <w:pPr>
        <w:spacing w:after="0" w:line="240" w:lineRule="auto"/>
      </w:pPr>
      <w:r>
        <w:separator/>
      </w:r>
    </w:p>
  </w:footnote>
  <w:footnote w:type="continuationSeparator" w:id="0">
    <w:p w14:paraId="37D1307D" w14:textId="77777777" w:rsidR="0014260F" w:rsidRDefault="0014260F" w:rsidP="00466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94AFE" w14:textId="77F06B59" w:rsidR="0014260F" w:rsidRPr="00F640AE" w:rsidRDefault="0014260F" w:rsidP="0078242D">
    <w:pPr>
      <w:pBdr>
        <w:bottom w:val="single" w:sz="4" w:space="1" w:color="auto"/>
      </w:pBdr>
      <w:spacing w:after="0" w:line="240" w:lineRule="auto"/>
      <w:jc w:val="center"/>
      <w:rPr>
        <w:rFonts w:cs="Times New Roman"/>
        <w:b/>
        <w:smallCaps/>
      </w:rPr>
    </w:pPr>
    <w:r w:rsidRPr="00F640AE">
      <w:rPr>
        <w:rFonts w:cs="Times New Roman"/>
        <w:b/>
        <w:smallCaps/>
      </w:rPr>
      <w:t>Dual Use Research of Concern Assessment Form</w:t>
    </w:r>
    <w:r w:rsidR="00F640AE">
      <w:rPr>
        <w:rFonts w:cs="Times New Roman"/>
        <w:b/>
        <w:smallCaps/>
      </w:rPr>
      <w:t xml:space="preserve"> - </w:t>
    </w:r>
    <w:r w:rsidRPr="00F640AE">
      <w:rPr>
        <w:rFonts w:cs="Times New Roman"/>
        <w:b/>
        <w:smallCaps/>
      </w:rPr>
      <w:t>Biological Materials Safeguards Committee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33F1" w14:textId="28835117" w:rsidR="0014260F" w:rsidRDefault="0014260F" w:rsidP="00B72D63">
    <w:pPr>
      <w:spacing w:after="0" w:line="240" w:lineRule="auto"/>
      <w:rPr>
        <w:rFonts w:ascii="Times New Roman" w:hAnsi="Times New Roman" w:cs="Times New Roman"/>
      </w:rPr>
    </w:pPr>
    <w:r>
      <w:rPr>
        <w:noProof/>
      </w:rPr>
      <w:drawing>
        <wp:anchor distT="0" distB="0" distL="114300" distR="114300" simplePos="0" relativeHeight="251657216" behindDoc="0" locked="0" layoutInCell="1" allowOverlap="1" wp14:anchorId="4F800395" wp14:editId="7D164CD5">
          <wp:simplePos x="0" y="0"/>
          <wp:positionH relativeFrom="column">
            <wp:posOffset>19050</wp:posOffset>
          </wp:positionH>
          <wp:positionV relativeFrom="paragraph">
            <wp:posOffset>497</wp:posOffset>
          </wp:positionV>
          <wp:extent cx="2668546" cy="890546"/>
          <wp:effectExtent l="19050" t="0" r="0" b="0"/>
          <wp:wrapNone/>
          <wp:docPr id="19" name="Picture 19" descr="http://www-old.me.gatech.edu/biorobo/inst-logo-black-8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me.gatech.edu/biorobo/inst-logo-black-874.gif"/>
                  <pic:cNvPicPr>
                    <a:picLocks noChangeAspect="1" noChangeArrowheads="1"/>
                  </pic:cNvPicPr>
                </pic:nvPicPr>
                <pic:blipFill>
                  <a:blip r:embed="rId1"/>
                  <a:srcRect/>
                  <a:stretch>
                    <a:fillRect/>
                  </a:stretch>
                </pic:blipFill>
                <pic:spPr bwMode="auto">
                  <a:xfrm>
                    <a:off x="0" y="0"/>
                    <a:ext cx="2678842" cy="893982"/>
                  </a:xfrm>
                  <a:prstGeom prst="rect">
                    <a:avLst/>
                  </a:prstGeom>
                  <a:noFill/>
                  <a:ln w="9525">
                    <a:noFill/>
                    <a:miter lim="800000"/>
                    <a:headEnd/>
                    <a:tailEnd/>
                  </a:ln>
                </pic:spPr>
              </pic:pic>
            </a:graphicData>
          </a:graphic>
        </wp:anchor>
      </w:drawing>
    </w:r>
  </w:p>
  <w:p w14:paraId="1C588968" w14:textId="77777777" w:rsidR="0014260F" w:rsidRPr="00F640AE" w:rsidRDefault="0014260F" w:rsidP="00B72D63">
    <w:pPr>
      <w:spacing w:after="0" w:line="240" w:lineRule="auto"/>
      <w:jc w:val="right"/>
      <w:rPr>
        <w:rFonts w:ascii="Calibri" w:hAnsi="Calibri" w:cs="Times New Roman"/>
        <w:b/>
        <w:sz w:val="18"/>
      </w:rPr>
    </w:pPr>
    <w:r w:rsidRPr="00F640AE">
      <w:rPr>
        <w:rFonts w:ascii="Calibri" w:hAnsi="Calibri" w:cs="Times New Roman"/>
        <w:b/>
        <w:sz w:val="18"/>
      </w:rPr>
      <w:t>Environmental Health and Safety</w:t>
    </w:r>
  </w:p>
  <w:p w14:paraId="0B9C20FE" w14:textId="77777777" w:rsidR="0014260F" w:rsidRPr="00F640AE" w:rsidRDefault="0014260F" w:rsidP="00B72D63">
    <w:pPr>
      <w:spacing w:after="0" w:line="240" w:lineRule="auto"/>
      <w:jc w:val="right"/>
      <w:rPr>
        <w:rFonts w:ascii="Calibri" w:hAnsi="Calibri" w:cs="Times New Roman"/>
        <w:sz w:val="18"/>
      </w:rPr>
    </w:pPr>
    <w:r w:rsidRPr="00F640AE">
      <w:rPr>
        <w:rFonts w:ascii="Calibri" w:hAnsi="Calibri" w:cs="Times New Roman"/>
        <w:sz w:val="18"/>
      </w:rPr>
      <w:t>490 10</w:t>
    </w:r>
    <w:r w:rsidRPr="00F640AE">
      <w:rPr>
        <w:rFonts w:ascii="Calibri" w:hAnsi="Calibri" w:cs="Times New Roman"/>
        <w:sz w:val="18"/>
        <w:vertAlign w:val="superscript"/>
      </w:rPr>
      <w:t>th</w:t>
    </w:r>
    <w:r w:rsidRPr="00F640AE">
      <w:rPr>
        <w:rFonts w:ascii="Calibri" w:hAnsi="Calibri" w:cs="Times New Roman"/>
        <w:sz w:val="18"/>
      </w:rPr>
      <w:t xml:space="preserve"> Street, 3</w:t>
    </w:r>
    <w:r w:rsidRPr="00F640AE">
      <w:rPr>
        <w:rFonts w:ascii="Calibri" w:hAnsi="Calibri" w:cs="Times New Roman"/>
        <w:sz w:val="18"/>
        <w:vertAlign w:val="superscript"/>
      </w:rPr>
      <w:t>rd</w:t>
    </w:r>
    <w:r w:rsidRPr="00F640AE">
      <w:rPr>
        <w:rFonts w:ascii="Calibri" w:hAnsi="Calibri" w:cs="Times New Roman"/>
        <w:sz w:val="18"/>
      </w:rPr>
      <w:t xml:space="preserve"> Floor</w:t>
    </w:r>
  </w:p>
  <w:p w14:paraId="7FAA6B50" w14:textId="77777777" w:rsidR="0014260F" w:rsidRPr="00F640AE" w:rsidRDefault="0014260F" w:rsidP="00B72D63">
    <w:pPr>
      <w:spacing w:after="0" w:line="240" w:lineRule="auto"/>
      <w:jc w:val="right"/>
      <w:rPr>
        <w:rFonts w:ascii="Calibri" w:hAnsi="Calibri" w:cs="Times New Roman"/>
        <w:sz w:val="18"/>
      </w:rPr>
    </w:pPr>
    <w:r w:rsidRPr="00F640AE">
      <w:rPr>
        <w:rFonts w:ascii="Calibri" w:hAnsi="Calibri" w:cs="Times New Roman"/>
        <w:sz w:val="18"/>
      </w:rPr>
      <w:t>Atlanta, Georgia 30318-0465 U.S.A.</w:t>
    </w:r>
  </w:p>
  <w:p w14:paraId="47E3E15C" w14:textId="77777777" w:rsidR="0014260F" w:rsidRPr="00F640AE" w:rsidRDefault="0014260F" w:rsidP="00B72D63">
    <w:pPr>
      <w:spacing w:after="0" w:line="240" w:lineRule="auto"/>
      <w:jc w:val="right"/>
      <w:rPr>
        <w:rFonts w:ascii="Calibri" w:hAnsi="Calibri" w:cs="Times New Roman"/>
        <w:sz w:val="18"/>
      </w:rPr>
    </w:pPr>
    <w:r w:rsidRPr="00F640AE">
      <w:rPr>
        <w:rFonts w:ascii="Calibri" w:hAnsi="Calibri" w:cs="Times New Roman"/>
        <w:smallCaps/>
        <w:sz w:val="18"/>
      </w:rPr>
      <w:t>phone</w:t>
    </w:r>
    <w:r w:rsidRPr="00F640AE">
      <w:rPr>
        <w:rFonts w:ascii="Calibri" w:hAnsi="Calibri" w:cs="Times New Roman"/>
        <w:sz w:val="18"/>
      </w:rPr>
      <w:t xml:space="preserve"> 404-894-4635</w:t>
    </w:r>
  </w:p>
  <w:p w14:paraId="0C4965A9" w14:textId="77777777" w:rsidR="0014260F" w:rsidRPr="00F640AE" w:rsidRDefault="0014260F" w:rsidP="00B72D63">
    <w:pPr>
      <w:spacing w:after="0" w:line="240" w:lineRule="auto"/>
      <w:jc w:val="right"/>
      <w:rPr>
        <w:rFonts w:ascii="Calibri" w:hAnsi="Calibri" w:cs="Times New Roman"/>
        <w:sz w:val="18"/>
      </w:rPr>
    </w:pPr>
    <w:r w:rsidRPr="00F640AE">
      <w:rPr>
        <w:rFonts w:ascii="Calibri" w:hAnsi="Calibri" w:cs="Times New Roman"/>
        <w:smallCaps/>
        <w:sz w:val="18"/>
      </w:rPr>
      <w:t>fax</w:t>
    </w:r>
    <w:r w:rsidRPr="00F640AE">
      <w:rPr>
        <w:rFonts w:ascii="Calibri" w:hAnsi="Calibri" w:cs="Times New Roman"/>
        <w:sz w:val="18"/>
      </w:rPr>
      <w:t xml:space="preserve"> 404-894-5042</w:t>
    </w:r>
  </w:p>
  <w:p w14:paraId="76CDB2B2" w14:textId="77777777" w:rsidR="0014260F" w:rsidRPr="00F640AE" w:rsidRDefault="0014260F" w:rsidP="00B72D63">
    <w:pPr>
      <w:spacing w:after="0" w:line="240" w:lineRule="auto"/>
      <w:jc w:val="right"/>
      <w:rPr>
        <w:rFonts w:ascii="Calibri" w:hAnsi="Calibri" w:cs="Times New Roman"/>
      </w:rPr>
    </w:pPr>
  </w:p>
  <w:p w14:paraId="18808673" w14:textId="7D46B57C" w:rsidR="0014260F" w:rsidRPr="00F640AE" w:rsidRDefault="0014260F" w:rsidP="00B72D63">
    <w:pPr>
      <w:pBdr>
        <w:bottom w:val="single" w:sz="4" w:space="1" w:color="auto"/>
      </w:pBdr>
      <w:spacing w:after="0" w:line="240" w:lineRule="auto"/>
      <w:jc w:val="center"/>
      <w:rPr>
        <w:rFonts w:ascii="Calibri" w:hAnsi="Calibri" w:cs="Times New Roman"/>
        <w:b/>
        <w:smallCaps/>
      </w:rPr>
    </w:pPr>
    <w:r w:rsidRPr="00F640AE">
      <w:rPr>
        <w:rFonts w:ascii="Calibri" w:hAnsi="Calibri" w:cs="Times New Roman"/>
        <w:b/>
        <w:smallCaps/>
      </w:rPr>
      <w:t xml:space="preserve">Dual Use Research of Concern Assessment Form </w:t>
    </w:r>
    <w:r w:rsidR="00F640AE" w:rsidRPr="00F640AE">
      <w:rPr>
        <w:rFonts w:ascii="Calibri" w:hAnsi="Calibri" w:cs="Times New Roman"/>
        <w:b/>
        <w:smallCaps/>
      </w:rPr>
      <w:t xml:space="preserve">- </w:t>
    </w:r>
    <w:r w:rsidRPr="00F640AE">
      <w:rPr>
        <w:rFonts w:ascii="Calibri" w:hAnsi="Calibri" w:cs="Times New Roman"/>
        <w:b/>
        <w:smallCaps/>
      </w:rPr>
      <w:t>Biological Materials Safeguards Committee</w:t>
    </w:r>
  </w:p>
  <w:p w14:paraId="7B53A7AC" w14:textId="77777777" w:rsidR="0014260F" w:rsidRDefault="00142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B0865"/>
    <w:multiLevelType w:val="hybridMultilevel"/>
    <w:tmpl w:val="363876D0"/>
    <w:lvl w:ilvl="0" w:tplc="A7BA2D3E">
      <w:start w:val="1"/>
      <w:numFmt w:val="decimal"/>
      <w:lvlText w:val="1. %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3E52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6EA5B23"/>
    <w:multiLevelType w:val="hybridMultilevel"/>
    <w:tmpl w:val="342E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CC5A3D"/>
    <w:multiLevelType w:val="multilevel"/>
    <w:tmpl w:val="2B12B52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BF7B92"/>
    <w:multiLevelType w:val="hybridMultilevel"/>
    <w:tmpl w:val="DB86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F77E8"/>
    <w:multiLevelType w:val="hybridMultilevel"/>
    <w:tmpl w:val="98683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377D7B"/>
    <w:multiLevelType w:val="hybridMultilevel"/>
    <w:tmpl w:val="2FFC2B0A"/>
    <w:lvl w:ilvl="0" w:tplc="A7BA2D3E">
      <w:start w:val="1"/>
      <w:numFmt w:val="decimal"/>
      <w:lvlText w:val="1. %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3097658"/>
    <w:multiLevelType w:val="hybridMultilevel"/>
    <w:tmpl w:val="B51EE6C0"/>
    <w:lvl w:ilvl="0" w:tplc="0409000B">
      <w:start w:val="1"/>
      <w:numFmt w:val="bullet"/>
      <w:lvlText w:val=""/>
      <w:lvlJc w:val="left"/>
      <w:pPr>
        <w:ind w:left="1057" w:hanging="360"/>
      </w:pPr>
      <w:rPr>
        <w:rFonts w:ascii="Wingdings" w:hAnsi="Wingdings"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num w:numId="1">
    <w:abstractNumId w:val="2"/>
  </w:num>
  <w:num w:numId="2">
    <w:abstractNumId w:val="5"/>
  </w:num>
  <w:num w:numId="3">
    <w:abstractNumId w:val="7"/>
  </w:num>
  <w:num w:numId="4">
    <w:abstractNumId w:val="6"/>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BC"/>
    <w:rsid w:val="0002534E"/>
    <w:rsid w:val="00044101"/>
    <w:rsid w:val="000819A7"/>
    <w:rsid w:val="000D36EE"/>
    <w:rsid w:val="000E3BC3"/>
    <w:rsid w:val="0010010A"/>
    <w:rsid w:val="00107C7F"/>
    <w:rsid w:val="00123AD6"/>
    <w:rsid w:val="0014260F"/>
    <w:rsid w:val="00145FFD"/>
    <w:rsid w:val="0017402E"/>
    <w:rsid w:val="00176FB3"/>
    <w:rsid w:val="001B7933"/>
    <w:rsid w:val="00201AA5"/>
    <w:rsid w:val="00232F3C"/>
    <w:rsid w:val="002759AF"/>
    <w:rsid w:val="00295995"/>
    <w:rsid w:val="00297318"/>
    <w:rsid w:val="002C637B"/>
    <w:rsid w:val="002F0695"/>
    <w:rsid w:val="003158E9"/>
    <w:rsid w:val="0033230E"/>
    <w:rsid w:val="00366918"/>
    <w:rsid w:val="004667BC"/>
    <w:rsid w:val="00470463"/>
    <w:rsid w:val="0055103B"/>
    <w:rsid w:val="0059135F"/>
    <w:rsid w:val="00595876"/>
    <w:rsid w:val="005A64FA"/>
    <w:rsid w:val="005D1FD3"/>
    <w:rsid w:val="005F02CF"/>
    <w:rsid w:val="006136EC"/>
    <w:rsid w:val="006253B4"/>
    <w:rsid w:val="0063375E"/>
    <w:rsid w:val="006A7A4B"/>
    <w:rsid w:val="006C4FF9"/>
    <w:rsid w:val="0070136F"/>
    <w:rsid w:val="0072119E"/>
    <w:rsid w:val="00721300"/>
    <w:rsid w:val="007273BD"/>
    <w:rsid w:val="0078242D"/>
    <w:rsid w:val="007917EF"/>
    <w:rsid w:val="007D32F7"/>
    <w:rsid w:val="007F1E99"/>
    <w:rsid w:val="008145CE"/>
    <w:rsid w:val="008F2FAC"/>
    <w:rsid w:val="009265C3"/>
    <w:rsid w:val="00944954"/>
    <w:rsid w:val="009563D1"/>
    <w:rsid w:val="0097542D"/>
    <w:rsid w:val="009924CE"/>
    <w:rsid w:val="009B2F0F"/>
    <w:rsid w:val="009F46DC"/>
    <w:rsid w:val="00A05234"/>
    <w:rsid w:val="00A6396C"/>
    <w:rsid w:val="00AC1381"/>
    <w:rsid w:val="00B34376"/>
    <w:rsid w:val="00B44651"/>
    <w:rsid w:val="00B72D63"/>
    <w:rsid w:val="00B94EB4"/>
    <w:rsid w:val="00BA0B9F"/>
    <w:rsid w:val="00BA27CD"/>
    <w:rsid w:val="00C40C47"/>
    <w:rsid w:val="00C42AF4"/>
    <w:rsid w:val="00C56957"/>
    <w:rsid w:val="00C67562"/>
    <w:rsid w:val="00CE5FB0"/>
    <w:rsid w:val="00CE7373"/>
    <w:rsid w:val="00D914FC"/>
    <w:rsid w:val="00E07B61"/>
    <w:rsid w:val="00E54880"/>
    <w:rsid w:val="00EC4229"/>
    <w:rsid w:val="00EF2B2E"/>
    <w:rsid w:val="00F20BF2"/>
    <w:rsid w:val="00F230F0"/>
    <w:rsid w:val="00F24F7E"/>
    <w:rsid w:val="00F4684A"/>
    <w:rsid w:val="00F640AE"/>
    <w:rsid w:val="00F72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832BAF"/>
  <w15:chartTrackingRefBased/>
  <w15:docId w15:val="{FA628993-E856-47C3-8EA3-F94FD4A8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7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7BC"/>
  </w:style>
  <w:style w:type="paragraph" w:styleId="Footer">
    <w:name w:val="footer"/>
    <w:basedOn w:val="Normal"/>
    <w:link w:val="FooterChar"/>
    <w:uiPriority w:val="99"/>
    <w:unhideWhenUsed/>
    <w:rsid w:val="004667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7BC"/>
  </w:style>
  <w:style w:type="character" w:styleId="Hyperlink">
    <w:name w:val="Hyperlink"/>
    <w:rsid w:val="004667BC"/>
    <w:rPr>
      <w:color w:val="0000FF"/>
      <w:u w:val="single"/>
    </w:rPr>
  </w:style>
  <w:style w:type="paragraph" w:styleId="ListParagraph">
    <w:name w:val="List Paragraph"/>
    <w:basedOn w:val="Normal"/>
    <w:uiPriority w:val="34"/>
    <w:qFormat/>
    <w:rsid w:val="004667BC"/>
    <w:pPr>
      <w:ind w:left="720"/>
      <w:contextualSpacing/>
    </w:pPr>
  </w:style>
  <w:style w:type="table" w:styleId="TableGrid">
    <w:name w:val="Table Grid"/>
    <w:basedOn w:val="TableNormal"/>
    <w:uiPriority w:val="39"/>
    <w:rsid w:val="00466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AD6"/>
    <w:rPr>
      <w:sz w:val="16"/>
      <w:szCs w:val="16"/>
    </w:rPr>
  </w:style>
  <w:style w:type="paragraph" w:styleId="CommentText">
    <w:name w:val="annotation text"/>
    <w:basedOn w:val="Normal"/>
    <w:link w:val="CommentTextChar"/>
    <w:uiPriority w:val="99"/>
    <w:semiHidden/>
    <w:unhideWhenUsed/>
    <w:rsid w:val="00123AD6"/>
    <w:pPr>
      <w:spacing w:line="240" w:lineRule="auto"/>
    </w:pPr>
    <w:rPr>
      <w:sz w:val="20"/>
      <w:szCs w:val="20"/>
    </w:rPr>
  </w:style>
  <w:style w:type="character" w:customStyle="1" w:styleId="CommentTextChar">
    <w:name w:val="Comment Text Char"/>
    <w:basedOn w:val="DefaultParagraphFont"/>
    <w:link w:val="CommentText"/>
    <w:uiPriority w:val="99"/>
    <w:semiHidden/>
    <w:rsid w:val="00123AD6"/>
    <w:rPr>
      <w:sz w:val="20"/>
      <w:szCs w:val="20"/>
    </w:rPr>
  </w:style>
  <w:style w:type="paragraph" w:styleId="CommentSubject">
    <w:name w:val="annotation subject"/>
    <w:basedOn w:val="CommentText"/>
    <w:next w:val="CommentText"/>
    <w:link w:val="CommentSubjectChar"/>
    <w:uiPriority w:val="99"/>
    <w:semiHidden/>
    <w:unhideWhenUsed/>
    <w:rsid w:val="00123AD6"/>
    <w:rPr>
      <w:b/>
      <w:bCs/>
    </w:rPr>
  </w:style>
  <w:style w:type="character" w:customStyle="1" w:styleId="CommentSubjectChar">
    <w:name w:val="Comment Subject Char"/>
    <w:basedOn w:val="CommentTextChar"/>
    <w:link w:val="CommentSubject"/>
    <w:uiPriority w:val="99"/>
    <w:semiHidden/>
    <w:rsid w:val="00123AD6"/>
    <w:rPr>
      <w:b/>
      <w:bCs/>
      <w:sz w:val="20"/>
      <w:szCs w:val="20"/>
    </w:rPr>
  </w:style>
  <w:style w:type="paragraph" w:styleId="BalloonText">
    <w:name w:val="Balloon Text"/>
    <w:basedOn w:val="Normal"/>
    <w:link w:val="BalloonTextChar"/>
    <w:uiPriority w:val="99"/>
    <w:semiHidden/>
    <w:unhideWhenUsed/>
    <w:rsid w:val="00123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AD6"/>
    <w:rPr>
      <w:rFonts w:ascii="Segoe UI" w:hAnsi="Segoe UI" w:cs="Segoe UI"/>
      <w:sz w:val="18"/>
      <w:szCs w:val="18"/>
    </w:rPr>
  </w:style>
  <w:style w:type="paragraph" w:styleId="FootnoteText">
    <w:name w:val="footnote text"/>
    <w:basedOn w:val="Normal"/>
    <w:link w:val="FootnoteTextChar"/>
    <w:uiPriority w:val="99"/>
    <w:semiHidden/>
    <w:unhideWhenUsed/>
    <w:rsid w:val="005A6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64FA"/>
    <w:rPr>
      <w:sz w:val="20"/>
      <w:szCs w:val="20"/>
    </w:rPr>
  </w:style>
  <w:style w:type="character" w:styleId="FootnoteReference">
    <w:name w:val="footnote reference"/>
    <w:basedOn w:val="DefaultParagraphFont"/>
    <w:uiPriority w:val="99"/>
    <w:semiHidden/>
    <w:unhideWhenUsed/>
    <w:rsid w:val="005A64FA"/>
    <w:rPr>
      <w:vertAlign w:val="superscript"/>
    </w:rPr>
  </w:style>
  <w:style w:type="paragraph" w:styleId="EndnoteText">
    <w:name w:val="endnote text"/>
    <w:basedOn w:val="Normal"/>
    <w:link w:val="EndnoteTextChar"/>
    <w:uiPriority w:val="99"/>
    <w:semiHidden/>
    <w:unhideWhenUsed/>
    <w:rsid w:val="00232F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32F3C"/>
    <w:rPr>
      <w:sz w:val="20"/>
      <w:szCs w:val="20"/>
    </w:rPr>
  </w:style>
  <w:style w:type="character" w:styleId="EndnoteReference">
    <w:name w:val="endnote reference"/>
    <w:basedOn w:val="DefaultParagraphFont"/>
    <w:uiPriority w:val="99"/>
    <w:semiHidden/>
    <w:unhideWhenUsed/>
    <w:rsid w:val="00232F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e.gov/s3/dualuse/Documents/us-policy-durc-03281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e.gov/s3/dualuse/Documents/durc-policy.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12C9E-7EF3-49B2-BC63-7E9EE507D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380DAD.dotm</Template>
  <TotalTime>12</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Geogia Tech</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Meagan</dc:creator>
  <cp:keywords/>
  <dc:description/>
  <cp:lastModifiedBy>Fitzpatrick Meagan</cp:lastModifiedBy>
  <cp:revision>10</cp:revision>
  <dcterms:created xsi:type="dcterms:W3CDTF">2015-09-08T19:12:00Z</dcterms:created>
  <dcterms:modified xsi:type="dcterms:W3CDTF">2015-09-23T15:40:00Z</dcterms:modified>
</cp:coreProperties>
</file>